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5" w:rsidRDefault="00234605" w:rsidP="00492F01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234605" w:rsidTr="00DE5516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234605" w:rsidRDefault="00234605" w:rsidP="00492F01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234605" w:rsidTr="00DE5516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34605" w:rsidRDefault="00234605" w:rsidP="00DE5516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605" w:rsidRDefault="009123A9" w:rsidP="009123A9">
            <w:pPr>
              <w:pStyle w:val="11"/>
              <w:widowControl/>
              <w:spacing w:line="276" w:lineRule="auto"/>
              <w:ind w:left="-7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квітня</w:t>
            </w:r>
            <w:proofErr w:type="spellEnd"/>
            <w:r w:rsidR="00234605">
              <w:rPr>
                <w:rFonts w:ascii="Times New Roman" w:hAnsi="Times New Roman"/>
                <w:b/>
                <w:sz w:val="28"/>
                <w:szCs w:val="28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234605" w:rsidRDefault="00234605" w:rsidP="00DE5516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605" w:rsidRPr="00E37C1D" w:rsidRDefault="00234605" w:rsidP="009123A9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№</w:t>
            </w:r>
            <w:r w:rsidR="009123A9"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9123A9" w:rsidRDefault="009123A9" w:rsidP="009123A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окремі питання виявлення </w:t>
      </w:r>
    </w:p>
    <w:p w:rsidR="009123A9" w:rsidRDefault="009123A9" w:rsidP="009123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протидії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  <w:r>
        <w:rPr>
          <w:b/>
          <w:sz w:val="28"/>
          <w:szCs w:val="28"/>
          <w:lang w:val="uk-UA"/>
        </w:rPr>
        <w:t xml:space="preserve"> в закладі освіти </w:t>
      </w:r>
    </w:p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jc w:val="both"/>
        <w:rPr>
          <w:vanish/>
          <w:sz w:val="28"/>
          <w:szCs w:val="28"/>
          <w:lang w:val="uk-UA"/>
          <w:specVanish/>
        </w:rPr>
      </w:pPr>
      <w:r>
        <w:rPr>
          <w:sz w:val="28"/>
          <w:szCs w:val="28"/>
          <w:lang w:val="uk-UA"/>
        </w:rPr>
        <w:t xml:space="preserve">               </w:t>
      </w:r>
    </w:p>
    <w:p w:rsidR="009123A9" w:rsidRDefault="009123A9" w:rsidP="009123A9">
      <w:pPr>
        <w:jc w:val="both"/>
        <w:rPr>
          <w:vanish/>
          <w:sz w:val="28"/>
          <w:szCs w:val="28"/>
          <w:lang w:val="uk-UA"/>
          <w:specVanish/>
        </w:rPr>
      </w:pPr>
    </w:p>
    <w:p w:rsidR="009123A9" w:rsidRDefault="009123A9" w:rsidP="009123A9">
      <w:pPr>
        <w:jc w:val="both"/>
        <w:rPr>
          <w:vanish/>
          <w:sz w:val="28"/>
          <w:szCs w:val="28"/>
          <w:lang w:val="uk-UA"/>
        </w:rPr>
      </w:pPr>
      <w:r>
        <w:rPr>
          <w:vanish/>
          <w:sz w:val="28"/>
          <w:szCs w:val="28"/>
          <w:lang w:val="uk-UA"/>
        </w:rPr>
        <w:t xml:space="preserve"> </w:t>
      </w:r>
    </w:p>
    <w:p w:rsidR="009123A9" w:rsidRDefault="009123A9" w:rsidP="009123A9">
      <w:pPr>
        <w:jc w:val="both"/>
        <w:rPr>
          <w:b/>
          <w:vanish/>
          <w:sz w:val="28"/>
          <w:szCs w:val="28"/>
          <w:lang w:val="uk-UA"/>
        </w:rPr>
      </w:pPr>
      <w:r>
        <w:rPr>
          <w:b/>
          <w:vanish/>
          <w:sz w:val="28"/>
          <w:szCs w:val="28"/>
          <w:lang w:val="uk-UA"/>
        </w:rPr>
        <w:t xml:space="preserve"> </w:t>
      </w:r>
    </w:p>
    <w:p w:rsidR="009123A9" w:rsidRDefault="009123A9" w:rsidP="009123A9">
      <w:pPr>
        <w:jc w:val="both"/>
        <w:rPr>
          <w:b/>
          <w:vanish/>
          <w:sz w:val="28"/>
          <w:szCs w:val="28"/>
          <w:lang w:val="uk-UA"/>
        </w:rPr>
      </w:pPr>
      <w:r>
        <w:rPr>
          <w:b/>
          <w:vanish/>
          <w:sz w:val="28"/>
          <w:szCs w:val="28"/>
          <w:lang w:val="uk-UA"/>
        </w:rPr>
        <w:t xml:space="preserve"> </w:t>
      </w:r>
    </w:p>
    <w:p w:rsidR="009123A9" w:rsidRDefault="009123A9" w:rsidP="009123A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 Законів України «Про освіту», «Про повну загальну середню освіту», статті 11 Закону України «Про запобігання і протидію домашньому насильству», Порядку взаємодії суб’єктів, що здійснюють заходи у сфері запобігання і протидії домашньому насильству і насильству за ознакою статі, затвердженого постановою Кабінету Міністрів України від 22 серпня 2018 року № 658, наказів Міністерства освіти і науки України: від 28.12.2019 № 1646 «Деякі питання реагування на випадки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зареєстрованого в Міністерстві юстиції України 03 лютого 2020 р. за № 111/34394; від 26.02.2020 № 293 «Про затвердження Плану заходів, спрямованих на запобігання та протидію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(цькуванню) в закладах освіти» (зі змінами, внесеними наказом від 20.03.2020 № 420), листа Міністерства освіти і науки України від 20.03.2020 № 6/480-20 «Про план заходів, спрямованих на запобігання та протидію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(цькуванню) в закладах освіти», наказів департаменту освіти і науки Київської обласної державної адміністрації  від 11.01.2019 № 09 «Про запобігання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в системі освіти Київської області»; від 02.04.2020 № 82 «Про окремі питання виявлення та протидії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в системі освіти Київської області», наказу відділу освіти, молоді та спорту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23.04.2020 № 99 «Про окремі питання виявлення та протидії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в закладах освіти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ОТГ»</w:t>
      </w:r>
    </w:p>
    <w:p w:rsidR="009123A9" w:rsidRDefault="009123A9" w:rsidP="009123A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123A9" w:rsidRDefault="009123A9" w:rsidP="009123A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НАКАЗУЮ:</w:t>
      </w:r>
    </w:p>
    <w:p w:rsidR="009123A9" w:rsidRDefault="009123A9" w:rsidP="009123A9">
      <w:pPr>
        <w:tabs>
          <w:tab w:val="left" w:pos="567"/>
          <w:tab w:val="left" w:pos="1701"/>
        </w:tabs>
        <w:jc w:val="both"/>
        <w:rPr>
          <w:b/>
          <w:sz w:val="28"/>
          <w:lang w:val="uk-UA"/>
        </w:rPr>
      </w:pPr>
    </w:p>
    <w:p w:rsidR="009123A9" w:rsidRDefault="009123A9" w:rsidP="009123A9">
      <w:pPr>
        <w:numPr>
          <w:ilvl w:val="0"/>
          <w:numId w:val="6"/>
        </w:numPr>
        <w:tabs>
          <w:tab w:val="left" w:pos="567"/>
          <w:tab w:val="left" w:pos="1418"/>
        </w:tabs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заходів, спрямованих на протидію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в закладі освіти , що додається (додаток 1).</w:t>
      </w:r>
    </w:p>
    <w:p w:rsidR="009123A9" w:rsidRDefault="009123A9" w:rsidP="009123A9">
      <w:pPr>
        <w:numPr>
          <w:ilvl w:val="0"/>
          <w:numId w:val="6"/>
        </w:numPr>
        <w:tabs>
          <w:tab w:val="left" w:pos="567"/>
          <w:tab w:val="left" w:pos="1418"/>
        </w:tabs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Практичному психологу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Л.С., соціальним педагогам Шевченко Т.Ю., </w:t>
      </w:r>
      <w:proofErr w:type="spellStart"/>
      <w:r>
        <w:rPr>
          <w:sz w:val="28"/>
          <w:szCs w:val="28"/>
          <w:lang w:val="uk-UA"/>
        </w:rPr>
        <w:t>Зозулевич</w:t>
      </w:r>
      <w:proofErr w:type="spellEnd"/>
      <w:r>
        <w:rPr>
          <w:sz w:val="28"/>
          <w:szCs w:val="28"/>
          <w:lang w:val="uk-UA"/>
        </w:rPr>
        <w:t xml:space="preserve"> О.Ю.: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418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постійний моніторинг ефективності роботи класним керівників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 з питань запобігання та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з метою виявлення проблем та т вжиття невідкладних заходів для їх вирішення;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постійну координацію роботи та взаємодії суб’єктів реагування в разі виявлення випадків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в закладі освіти 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418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системну профілактичну роботу, спрямовану на запобігання вчинення дитиною та стосовно дитини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418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реагувати на випадки жорстокого поводження з дітьми (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) або загрози його вчинення та вживати відповідних заходів для його припинення;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418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Уживати заходів (відповідно до рішень комісій закладу освіти з розгляду випадків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) для надання соціальних та психолог-педагогічних послуг здобувачам освіти, які вчинили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 (цькування), стали його свідками або потерпіли від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418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Розглядати питання щодо фактів насилля над дітьми на нарадах, педагогічних радах, батьківських зборах тощо;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Розмістити протягом квітня 2020 року на сайті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інформаційні матеріали про запобігання та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(цькуванню), номери телефонів організацій та установ, служб підтримки, до яких можуть звертатися постраждалі особи, порядок подання та розгляду (з обов’язковим дотриманням конфіденційності) заяв про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в закладі освіти, порядок реагування на доведені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в закладі освіти, порядок реагування на доведені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в закладі освіти та інформацію про відповідальність осіб, причетних до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з розгляду випадків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в закладі освіти та затвердити її склад;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ind w:left="1418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в закладі освіти комплекс заходів для запобігання та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(цькуванню), зокрема:</w:t>
      </w:r>
    </w:p>
    <w:p w:rsidR="009123A9" w:rsidRDefault="009123A9" w:rsidP="009123A9">
      <w:pPr>
        <w:numPr>
          <w:ilvl w:val="2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освітнє середовище, здатне забезпечити психологічну та фізичну безпеку учасників освітнього процесу;</w:t>
      </w:r>
    </w:p>
    <w:p w:rsidR="009123A9" w:rsidRDefault="009123A9" w:rsidP="009123A9">
      <w:pPr>
        <w:numPr>
          <w:ilvl w:val="2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причини і передумови поширення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в закладі освіти;</w:t>
      </w:r>
    </w:p>
    <w:p w:rsidR="009123A9" w:rsidRDefault="009123A9" w:rsidP="009123A9">
      <w:pPr>
        <w:numPr>
          <w:ilvl w:val="2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підвищувати рівень поінформованості учасників освітнього процесу про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 (цькування);</w:t>
      </w:r>
    </w:p>
    <w:p w:rsidR="009123A9" w:rsidRDefault="009123A9" w:rsidP="009123A9">
      <w:pPr>
        <w:numPr>
          <w:ilvl w:val="2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Виховувати в учасників освітнього процесу нетерпиме ставлення до насильницьких моделей поведінки, усвідомлення того, що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 (цькування) – є порушення прав людини;</w:t>
      </w:r>
    </w:p>
    <w:p w:rsidR="009123A9" w:rsidRDefault="009123A9" w:rsidP="009123A9">
      <w:pPr>
        <w:numPr>
          <w:ilvl w:val="2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Заохочувати всіх учасників освітнього процесу до активного сприяння запобіганню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Повідомляти невідкладно (у строк, що не перевищує однієї доби) про випадок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в закладі освіти 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ВП Переяслав-Хмельницького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Київській області, відділ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принаймні одного з батьків або інших законних представників малолітньої чи неповнолітньої особи, яка стала стороною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Інформувати про випадок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 (цькування) службу у справах дітей та сім’ї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для вирішення питання щодо соціального захисту малолітньої чи неповнолітньої особи, яка стала стороною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(цькування), з’ясування причин, які призвели до випадку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(цькування), та вжиття заходів для усунення таких причин;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Повідомляти центр соціальних служб для сім’ї, дітей та молоді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з метою проведення оцінки потреб сторін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(цькування), визначення соціальних послуг та методів соціальної роботи, забезпечення психологічної підтримки та надання соціальних послуг;</w:t>
      </w:r>
    </w:p>
    <w:p w:rsidR="009123A9" w:rsidRDefault="009123A9" w:rsidP="009123A9">
      <w:pPr>
        <w:numPr>
          <w:ilvl w:val="1"/>
          <w:numId w:val="6"/>
        </w:numPr>
        <w:tabs>
          <w:tab w:val="left" w:pos="567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Скликати засідання комісії з розгляду випадку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(цькування)не пізніше, ніж упродовж трьох робочих днів з дня отримання заяви або повідомлення про випадок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(цькування).</w:t>
      </w:r>
    </w:p>
    <w:p w:rsidR="009123A9" w:rsidRDefault="009123A9" w:rsidP="009123A9">
      <w:pPr>
        <w:tabs>
          <w:tab w:val="left" w:pos="567"/>
          <w:tab w:val="left" w:pos="1701"/>
        </w:tabs>
        <w:ind w:left="1647"/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numPr>
          <w:ilvl w:val="0"/>
          <w:numId w:val="6"/>
        </w:numPr>
        <w:tabs>
          <w:tab w:val="left" w:pos="567"/>
          <w:tab w:val="left" w:pos="993"/>
          <w:tab w:val="left" w:pos="1701"/>
        </w:tabs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9123A9" w:rsidRDefault="009123A9" w:rsidP="009123A9">
      <w:pPr>
        <w:ind w:left="708"/>
        <w:rPr>
          <w:sz w:val="28"/>
          <w:szCs w:val="28"/>
          <w:lang w:val="uk-UA"/>
        </w:rPr>
      </w:pPr>
    </w:p>
    <w:p w:rsidR="009123A9" w:rsidRDefault="00D63C8B" w:rsidP="009123A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наказом ознайомлені: </w:t>
      </w:r>
    </w:p>
    <w:p w:rsidR="009123A9" w:rsidRDefault="009123A9" w:rsidP="009123A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</w:pPr>
    </w:p>
    <w:p w:rsidR="009123A9" w:rsidRDefault="009123A9" w:rsidP="009123A9">
      <w:pPr>
        <w:rPr>
          <w:sz w:val="28"/>
          <w:szCs w:val="28"/>
          <w:lang w:val="uk-UA"/>
        </w:rPr>
        <w:sectPr w:rsidR="009123A9">
          <w:headerReference w:type="default" r:id="rId9"/>
          <w:pgSz w:w="11906" w:h="16838"/>
          <w:pgMar w:top="1134" w:right="707" w:bottom="851" w:left="1701" w:header="709" w:footer="709" w:gutter="0"/>
          <w:cols w:space="720"/>
        </w:sectPr>
      </w:pPr>
    </w:p>
    <w:p w:rsidR="009123A9" w:rsidRDefault="009123A9" w:rsidP="00D63C8B">
      <w:pPr>
        <w:rPr>
          <w:sz w:val="28"/>
          <w:szCs w:val="28"/>
          <w:lang w:val="uk-UA"/>
        </w:rPr>
      </w:pPr>
    </w:p>
    <w:p w:rsidR="009123A9" w:rsidRDefault="009123A9" w:rsidP="009123A9">
      <w:pPr>
        <w:ind w:left="9912"/>
        <w:rPr>
          <w:sz w:val="28"/>
          <w:szCs w:val="28"/>
          <w:lang w:val="uk-UA"/>
        </w:rPr>
      </w:pPr>
    </w:p>
    <w:p w:rsidR="009123A9" w:rsidRDefault="009123A9" w:rsidP="009123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9123A9" w:rsidRDefault="009123A9" w:rsidP="009123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Заходів, спрямованих на запобігання та протидію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</w:t>
      </w:r>
    </w:p>
    <w:p w:rsidR="009123A9" w:rsidRDefault="009123A9" w:rsidP="009123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 w:rsidR="00D63C8B">
        <w:rPr>
          <w:sz w:val="28"/>
          <w:szCs w:val="28"/>
          <w:lang w:val="uk-UA"/>
        </w:rPr>
        <w:t>Баришівському</w:t>
      </w:r>
      <w:proofErr w:type="spellEnd"/>
      <w:r w:rsidR="00D63C8B">
        <w:rPr>
          <w:sz w:val="28"/>
          <w:szCs w:val="28"/>
          <w:lang w:val="uk-UA"/>
        </w:rPr>
        <w:t xml:space="preserve"> НВК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670"/>
        <w:gridCol w:w="5103"/>
        <w:gridCol w:w="2061"/>
      </w:tblGrid>
      <w:tr w:rsidR="009123A9" w:rsidTr="00D63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заходів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9123A9" w:rsidTr="00D63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 w:rsidP="009123A9">
            <w:pPr>
              <w:numPr>
                <w:ilvl w:val="0"/>
                <w:numId w:val="7"/>
              </w:numPr>
              <w:ind w:left="0" w:firstLine="6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запобіганню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Інформаційно-просвітницька діяльність серед учасників освітнього процесу щодо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та нетерпимого ставлення до насильницької моделі поведінки у міжособистісних стосунках</w:t>
            </w: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2). Профілактична діяльність, спрямована на запобігання вчиненню дитиною та стосовно дитини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 w:rsidP="00D63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Координація діяльності та взаємодії між заклад</w:t>
            </w:r>
            <w:r w:rsidR="00D63C8B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м освіти та іншими суб’єктами на реагування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закладах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 з метою урахування пропозицій до планів заходів, , спрямованих на запобігання та протидію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заклад</w:t>
            </w:r>
            <w:r w:rsidR="00D63C8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ind w:firstLine="34"/>
              <w:rPr>
                <w:sz w:val="28"/>
                <w:szCs w:val="28"/>
                <w:lang w:val="uk-UA"/>
              </w:rPr>
            </w:pPr>
          </w:p>
          <w:p w:rsidR="009123A9" w:rsidRDefault="009123A9" w:rsidP="00D63C8B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4). Вжиття заходів для надання соціальних та психолого-педагогічних послуг здобувачам освіти, які вчинили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(цькування), стали його свідками або потерпіли від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(згідно з рішеннями комісі</w:t>
            </w:r>
            <w:r w:rsidR="00D63C8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заклад</w:t>
            </w:r>
            <w:r w:rsidR="00D63C8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освіти з розгляду випадків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соціальні педагоги</w:t>
            </w:r>
            <w:r w:rsidR="009123A9">
              <w:rPr>
                <w:sz w:val="28"/>
                <w:szCs w:val="28"/>
                <w:lang w:val="uk-UA"/>
              </w:rPr>
              <w:t xml:space="preserve"> 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63C8B">
              <w:rPr>
                <w:sz w:val="28"/>
                <w:szCs w:val="28"/>
                <w:lang w:val="uk-UA"/>
              </w:rPr>
              <w:t>соціальні педагоги, практичний психолог, класні керівники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педагоги,</w:t>
            </w: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соціальних служб для сім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ї, дітей та молоді</w:t>
            </w: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 w:rsidP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психолог, соціальні педагоги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потреби, але не рідше, ніж одного разу на півріччя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123A9" w:rsidTr="00D63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 w:rsidP="009123A9">
            <w:pPr>
              <w:numPr>
                <w:ilvl w:val="0"/>
                <w:numId w:val="7"/>
              </w:numPr>
              <w:ind w:left="142" w:right="-108" w:hanging="2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Забезпечення створення у закладі освіти безпечного освітнього середовища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Розроблення плану заходів, спрямованих  на запобігання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(цькуванню)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2). Проведення моніторингу ефективності виконання плану заходів, спрямованих на запобігання та протидію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закладах освіти, виявлення проблем у сфері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(цькування), вжиття заходів для їх вирішення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педагоги</w:t>
            </w:r>
          </w:p>
          <w:p w:rsidR="009123A9" w:rsidRDefault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3C8B" w:rsidRDefault="00D63C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В.В.,практичний </w:t>
            </w:r>
            <w:proofErr w:type="spellStart"/>
            <w:r>
              <w:rPr>
                <w:sz w:val="28"/>
                <w:szCs w:val="28"/>
                <w:lang w:val="uk-UA"/>
              </w:rPr>
              <w:t>психлолог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початку навчального року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потреби, але на рідше одного разу на півріччя</w:t>
            </w:r>
          </w:p>
        </w:tc>
      </w:tr>
      <w:tr w:rsidR="009123A9" w:rsidTr="00D63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A9" w:rsidRDefault="009123A9" w:rsidP="009123A9">
            <w:pPr>
              <w:numPr>
                <w:ilvl w:val="0"/>
                <w:numId w:val="7"/>
              </w:numPr>
              <w:ind w:left="142" w:hanging="2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Професійний розвиток та підвищення кваліфікації педагогічних працівників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Участь в науково-методичних та навчально-методичних підвищеннях кваліфікацій педагогічних працівників щодо 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навичок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(цькуванню)  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2). Включення до щорічного плану підвищення кваліфікації педагогічних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працівників (з відривом чи без відриву від освітнього процесу) теми щодо формування в дітей та молоді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навичок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492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Педагогічні працівники</w:t>
            </w: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492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2F01" w:rsidRDefault="00492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23A9" w:rsidRDefault="00912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9123A9" w:rsidRDefault="009123A9" w:rsidP="009123A9">
      <w:pPr>
        <w:jc w:val="both"/>
        <w:rPr>
          <w:sz w:val="28"/>
          <w:szCs w:val="28"/>
          <w:lang w:val="uk-UA"/>
        </w:rPr>
      </w:pPr>
    </w:p>
    <w:p w:rsidR="008277BF" w:rsidRDefault="008277BF" w:rsidP="009123A9">
      <w:pPr>
        <w:tabs>
          <w:tab w:val="left" w:pos="5250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Default="008277BF" w:rsidP="008277BF"/>
    <w:p w:rsidR="008277BF" w:rsidRDefault="008277BF" w:rsidP="008277BF">
      <w:pPr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D63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85" w:rsidRDefault="00243185" w:rsidP="00D63C8B">
      <w:r>
        <w:separator/>
      </w:r>
    </w:p>
  </w:endnote>
  <w:endnote w:type="continuationSeparator" w:id="0">
    <w:p w:rsidR="00243185" w:rsidRDefault="00243185" w:rsidP="00D6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85" w:rsidRDefault="00243185" w:rsidP="00D63C8B">
      <w:r>
        <w:separator/>
      </w:r>
    </w:p>
  </w:footnote>
  <w:footnote w:type="continuationSeparator" w:id="0">
    <w:p w:rsidR="00243185" w:rsidRDefault="00243185" w:rsidP="00D6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8B" w:rsidRDefault="00D63C8B" w:rsidP="00D63C8B">
    <w:pPr>
      <w:pStyle w:val="a9"/>
      <w:tabs>
        <w:tab w:val="clear" w:pos="4819"/>
        <w:tab w:val="clear" w:pos="9639"/>
        <w:tab w:val="left" w:pos="13140"/>
      </w:tabs>
      <w:rPr>
        <w:lang w:val="uk-UA"/>
      </w:rPr>
    </w:pPr>
    <w:r>
      <w:tab/>
    </w:r>
    <w:r>
      <w:rPr>
        <w:lang w:val="uk-UA"/>
      </w:rPr>
      <w:t>Додаток</w:t>
    </w:r>
  </w:p>
  <w:p w:rsidR="00D63C8B" w:rsidRDefault="00D63C8B" w:rsidP="00D63C8B">
    <w:pPr>
      <w:pStyle w:val="a9"/>
      <w:tabs>
        <w:tab w:val="clear" w:pos="4819"/>
        <w:tab w:val="clear" w:pos="9639"/>
        <w:tab w:val="left" w:pos="10800"/>
      </w:tabs>
      <w:rPr>
        <w:lang w:val="uk-UA"/>
      </w:rPr>
    </w:pPr>
    <w:r>
      <w:rPr>
        <w:lang w:val="uk-UA"/>
      </w:rPr>
      <w:t xml:space="preserve">                           </w:t>
    </w:r>
    <w:r>
      <w:rPr>
        <w:lang w:val="uk-UA"/>
      </w:rPr>
      <w:tab/>
      <w:t xml:space="preserve">До наказу </w:t>
    </w:r>
    <w:proofErr w:type="spellStart"/>
    <w:r>
      <w:rPr>
        <w:lang w:val="uk-UA"/>
      </w:rPr>
      <w:t>Баришівського</w:t>
    </w:r>
    <w:proofErr w:type="spellEnd"/>
    <w:r>
      <w:rPr>
        <w:lang w:val="uk-UA"/>
      </w:rPr>
      <w:t xml:space="preserve"> НВК</w:t>
    </w:r>
  </w:p>
  <w:p w:rsidR="00D63C8B" w:rsidRPr="00D63C8B" w:rsidRDefault="00D63C8B" w:rsidP="00D63C8B">
    <w:pPr>
      <w:pStyle w:val="a9"/>
      <w:tabs>
        <w:tab w:val="clear" w:pos="4819"/>
        <w:tab w:val="clear" w:pos="9639"/>
        <w:tab w:val="left" w:pos="10800"/>
      </w:tabs>
      <w:rPr>
        <w:lang w:val="uk-UA"/>
      </w:rPr>
    </w:pPr>
    <w:r>
      <w:rPr>
        <w:lang w:val="uk-UA"/>
      </w:rPr>
      <w:tab/>
      <w:t>28.04.2020 № 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47484"/>
    <w:multiLevelType w:val="hybridMultilevel"/>
    <w:tmpl w:val="B2F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95FE9"/>
    <w:multiLevelType w:val="multilevel"/>
    <w:tmpl w:val="59AA2B52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974F7"/>
    <w:rsid w:val="001C7F99"/>
    <w:rsid w:val="001D3606"/>
    <w:rsid w:val="001F48C5"/>
    <w:rsid w:val="00227132"/>
    <w:rsid w:val="00234605"/>
    <w:rsid w:val="0024318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492F01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123A9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B6EA9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63C8B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63C8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3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63C8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99C1-91D2-43B4-92DE-C753CD5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5332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2020-04-28T07:55:00Z</cp:lastPrinted>
  <dcterms:created xsi:type="dcterms:W3CDTF">2020-04-28T07:56:00Z</dcterms:created>
  <dcterms:modified xsi:type="dcterms:W3CDTF">2020-04-28T07:56:00Z</dcterms:modified>
</cp:coreProperties>
</file>